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6764BE" w14:textId="77777777" w:rsidR="00B709D6" w:rsidRDefault="00F06EC4">
      <w:bookmarkStart w:id="0" w:name="_GoBack"/>
      <w:bookmarkEnd w:id="0"/>
      <w:r>
        <w:t>Compensation Equity for Librarians</w:t>
      </w:r>
    </w:p>
    <w:p w14:paraId="39909601" w14:textId="77777777" w:rsidR="00F06EC4" w:rsidRDefault="00F06EC4"/>
    <w:p w14:paraId="4580CC97" w14:textId="4E7A556E" w:rsidR="00945D0D" w:rsidRDefault="000E4159">
      <w:r>
        <w:rPr>
          <w:b/>
        </w:rPr>
        <w:t>Summary</w:t>
      </w:r>
      <w:r w:rsidR="00D26DB4">
        <w:t xml:space="preserve">: Librarians </w:t>
      </w:r>
      <w:r w:rsidR="00803645">
        <w:t>request that their compensation and obligation schedules better conform to the expectations articulated</w:t>
      </w:r>
      <w:r w:rsidR="00D26DB4">
        <w:t xml:space="preserve"> in the </w:t>
      </w:r>
      <w:r w:rsidR="00D26DB4" w:rsidRPr="000E4159">
        <w:rPr>
          <w:i/>
        </w:rPr>
        <w:t>SUNY Board of Trustees Policy Guidelines</w:t>
      </w:r>
      <w:r w:rsidR="00D26DB4">
        <w:t xml:space="preserve"> and the </w:t>
      </w:r>
      <w:r w:rsidR="00D26DB4" w:rsidRPr="000E4159">
        <w:rPr>
          <w:i/>
        </w:rPr>
        <w:t xml:space="preserve">UUP </w:t>
      </w:r>
      <w:r w:rsidR="00803645" w:rsidRPr="000E4159">
        <w:rPr>
          <w:i/>
        </w:rPr>
        <w:t>Agreement with New York State</w:t>
      </w:r>
      <w:r w:rsidR="00803645">
        <w:t>.</w:t>
      </w:r>
      <w:r>
        <w:t xml:space="preserve"> </w:t>
      </w:r>
    </w:p>
    <w:p w14:paraId="26981244" w14:textId="77777777" w:rsidR="00803645" w:rsidRDefault="00803645" w:rsidP="00D615DC">
      <w:pPr>
        <w:jc w:val="right"/>
      </w:pPr>
    </w:p>
    <w:p w14:paraId="3301742D" w14:textId="6079BE14" w:rsidR="00803645" w:rsidRDefault="007840D3">
      <w:r>
        <w:t xml:space="preserve">I.  </w:t>
      </w:r>
      <w:r w:rsidR="00803645">
        <w:t xml:space="preserve">The definitions section of the </w:t>
      </w:r>
      <w:r w:rsidR="00803645" w:rsidRPr="007840D3">
        <w:rPr>
          <w:i/>
        </w:rPr>
        <w:t>SUNY Policies of the Board of Trustees</w:t>
      </w:r>
      <w:r w:rsidR="00803645">
        <w:t xml:space="preserve"> clarifies that librarians are “academic employees” with “academic rank.”</w:t>
      </w:r>
    </w:p>
    <w:p w14:paraId="3112698C" w14:textId="70732A40" w:rsidR="000E4159" w:rsidRDefault="000E4159" w:rsidP="000E4159">
      <w:pPr>
        <w:jc w:val="center"/>
      </w:pPr>
      <w:r>
        <w:rPr>
          <w:noProof/>
        </w:rPr>
        <w:drawing>
          <wp:inline distT="0" distB="0" distL="0" distR="0" wp14:anchorId="0D28CF6A" wp14:editId="56CFE59C">
            <wp:extent cx="3524757" cy="1200150"/>
            <wp:effectExtent l="0" t="0" r="635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nk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7052" cy="1200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736815" w14:textId="77777777" w:rsidR="000E4159" w:rsidRDefault="000E4159" w:rsidP="000E4159">
      <w:pPr>
        <w:jc w:val="center"/>
      </w:pPr>
    </w:p>
    <w:p w14:paraId="00A862C0" w14:textId="10FF4887" w:rsidR="000E4159" w:rsidRDefault="000E4159" w:rsidP="000E4159">
      <w:pPr>
        <w:jc w:val="center"/>
      </w:pPr>
      <w:r>
        <w:rPr>
          <w:noProof/>
        </w:rPr>
        <w:drawing>
          <wp:inline distT="0" distB="0" distL="0" distR="0" wp14:anchorId="2C8E10E7" wp14:editId="1803FFA7">
            <wp:extent cx="3886200" cy="391111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adempl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6200" cy="391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ADAD25" w14:textId="77777777" w:rsidR="007840D3" w:rsidRDefault="007840D3"/>
    <w:p w14:paraId="6980DB41" w14:textId="77777777" w:rsidR="007840D3" w:rsidRDefault="007840D3">
      <w:r>
        <w:t xml:space="preserve">II.  Article 20 of the </w:t>
      </w:r>
      <w:r w:rsidRPr="007840D3">
        <w:rPr>
          <w:i/>
        </w:rPr>
        <w:t>UUP Agreement with New York State</w:t>
      </w:r>
      <w:r>
        <w:t xml:space="preserve"> demonstrates that librarian ranks (e.g.“Senior Assistant Librarian”) directly correlate to the ranks held by professors (e.g. “Assistant Professor”).  </w:t>
      </w:r>
    </w:p>
    <w:p w14:paraId="2F32E0FA" w14:textId="77777777" w:rsidR="006C4F33" w:rsidRDefault="006C4F33"/>
    <w:p w14:paraId="4DED99CE" w14:textId="3A13DDEA" w:rsidR="006C4F33" w:rsidRDefault="006C4F33" w:rsidP="006C4F33">
      <w:pPr>
        <w:jc w:val="center"/>
      </w:pPr>
      <w:r>
        <w:rPr>
          <w:noProof/>
        </w:rPr>
        <w:drawing>
          <wp:inline distT="0" distB="0" distL="0" distR="0" wp14:anchorId="2735290F" wp14:editId="2C517940">
            <wp:extent cx="2457450" cy="2131365"/>
            <wp:effectExtent l="0" t="0" r="635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nkCorrespondenc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7517" cy="2131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921690" w14:textId="77777777" w:rsidR="007840D3" w:rsidRDefault="007840D3"/>
    <w:p w14:paraId="11D84241" w14:textId="4395D78A" w:rsidR="007840D3" w:rsidRDefault="007840D3">
      <w:r>
        <w:t xml:space="preserve">III.  The direct compensation rates listed in Article 20 of the </w:t>
      </w:r>
      <w:r w:rsidRPr="00D615DC">
        <w:rPr>
          <w:i/>
        </w:rPr>
        <w:t>UUP Agreement</w:t>
      </w:r>
      <w:r>
        <w:t xml:space="preserve"> </w:t>
      </w:r>
      <w:r w:rsidR="009C0A8E">
        <w:t xml:space="preserve">establish a clear distinction between rates for academic employees with “academic year” obligations and those with “calendar year” obligations.  </w:t>
      </w:r>
    </w:p>
    <w:p w14:paraId="15B90C8C" w14:textId="77777777" w:rsidR="007840D3" w:rsidRDefault="007840D3"/>
    <w:p w14:paraId="5544CCAE" w14:textId="75F76CCA" w:rsidR="007840D3" w:rsidRDefault="00545191" w:rsidP="006C4F33">
      <w:pPr>
        <w:jc w:val="center"/>
      </w:pPr>
      <w:r>
        <w:rPr>
          <w:noProof/>
        </w:rPr>
        <w:drawing>
          <wp:inline distT="0" distB="0" distL="0" distR="0" wp14:anchorId="30157FB7" wp14:editId="3DEA51EC">
            <wp:extent cx="3086100" cy="148502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ligationCorresp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1485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19E16D" w14:textId="77777777" w:rsidR="00D26DB4" w:rsidRDefault="00D26DB4"/>
    <w:p w14:paraId="3CD4E0D0" w14:textId="77777777" w:rsidR="00542B60" w:rsidRDefault="00542B60" w:rsidP="00B83A9C">
      <w:pPr>
        <w:rPr>
          <w:rFonts w:eastAsia="Times New Roman" w:cs="Times New Roman"/>
        </w:rPr>
      </w:pPr>
    </w:p>
    <w:p w14:paraId="35133C86" w14:textId="77777777" w:rsidR="00D615DC" w:rsidRDefault="00D615DC" w:rsidP="00D615DC">
      <w:pPr>
        <w:rPr>
          <w:rFonts w:eastAsia="Times New Roman" w:cs="Times New Roman"/>
        </w:rPr>
      </w:pPr>
      <w:r>
        <w:rPr>
          <w:rFonts w:eastAsia="Times New Roman" w:cs="Times New Roman"/>
        </w:rPr>
        <w:lastRenderedPageBreak/>
        <w:t xml:space="preserve">IV.  The tables in Article 20 of the </w:t>
      </w:r>
      <w:r>
        <w:rPr>
          <w:rFonts w:eastAsia="Times New Roman" w:cs="Times New Roman"/>
          <w:i/>
        </w:rPr>
        <w:t>UUP Agreement</w:t>
      </w:r>
      <w:r>
        <w:rPr>
          <w:rFonts w:eastAsia="Times New Roman" w:cs="Times New Roman"/>
        </w:rPr>
        <w:t xml:space="preserve"> show that pay rates for academic employees with calendar year obligations are expected to be roughly 19.5% higher than those with academic year obligations at the same rank.  </w:t>
      </w:r>
    </w:p>
    <w:p w14:paraId="796A592C" w14:textId="77777777" w:rsidR="00D615DC" w:rsidRDefault="00D615DC" w:rsidP="00D615DC">
      <w:pPr>
        <w:rPr>
          <w:rFonts w:eastAsia="Times New Roman" w:cs="Times New Roman"/>
        </w:rPr>
      </w:pPr>
    </w:p>
    <w:p w14:paraId="7FEBDB6D" w14:textId="42E52448" w:rsidR="00D615DC" w:rsidRDefault="00D615DC" w:rsidP="00D615DC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V.  SUNY Cobleskill librarians are academic employees with “calendar year” obligations. As such—according to the </w:t>
      </w:r>
      <w:r w:rsidRPr="00312FA0">
        <w:rPr>
          <w:rFonts w:eastAsia="Times New Roman" w:cs="Times New Roman"/>
          <w:i/>
        </w:rPr>
        <w:t>UUP Agreement</w:t>
      </w:r>
      <w:r>
        <w:rPr>
          <w:rFonts w:eastAsia="Times New Roman" w:cs="Times New Roman"/>
        </w:rPr>
        <w:t>—our salaries should be roughly 19.5% higher than those earned by similarly ranked academic employees working “academic year” contracts.</w:t>
      </w:r>
    </w:p>
    <w:p w14:paraId="3E05A3D1" w14:textId="77777777" w:rsidR="00D615DC" w:rsidRDefault="00D615DC" w:rsidP="00B83A9C">
      <w:pPr>
        <w:rPr>
          <w:rFonts w:eastAsia="Times New Roman" w:cs="Times New Roman"/>
        </w:rPr>
      </w:pPr>
    </w:p>
    <w:p w14:paraId="596E11F8" w14:textId="05DC9B1D" w:rsidR="003F4769" w:rsidRDefault="00542B60" w:rsidP="00B83A9C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V.  </w:t>
      </w:r>
      <w:r w:rsidR="00F056CB">
        <w:rPr>
          <w:rFonts w:eastAsia="Times New Roman" w:cs="Times New Roman"/>
        </w:rPr>
        <w:t>Currently, however, SUNY Cobleskill l</w:t>
      </w:r>
      <w:r w:rsidR="00BD00CB">
        <w:rPr>
          <w:rFonts w:eastAsia="Times New Roman" w:cs="Times New Roman"/>
        </w:rPr>
        <w:t>ibrarians’ salaries for 12-</w:t>
      </w:r>
      <w:r w:rsidR="00D615DC">
        <w:rPr>
          <w:rFonts w:eastAsia="Times New Roman" w:cs="Times New Roman"/>
        </w:rPr>
        <w:t>month contracts are roughly equivalent to those earned by o</w:t>
      </w:r>
      <w:r w:rsidR="00BD00CB">
        <w:rPr>
          <w:rFonts w:eastAsia="Times New Roman" w:cs="Times New Roman"/>
        </w:rPr>
        <w:t xml:space="preserve">ther academic employees with </w:t>
      </w:r>
      <w:r w:rsidR="00F056CB">
        <w:rPr>
          <w:rFonts w:eastAsia="Times New Roman" w:cs="Times New Roman"/>
        </w:rPr>
        <w:t xml:space="preserve">only </w:t>
      </w:r>
      <w:r w:rsidR="00BD00CB">
        <w:rPr>
          <w:rFonts w:eastAsia="Times New Roman" w:cs="Times New Roman"/>
        </w:rPr>
        <w:t>10-</w:t>
      </w:r>
      <w:r w:rsidR="00D615DC">
        <w:rPr>
          <w:rFonts w:eastAsia="Times New Roman" w:cs="Times New Roman"/>
        </w:rPr>
        <w:t>month obligations.</w:t>
      </w:r>
      <w:r w:rsidR="00F056CB">
        <w:rPr>
          <w:rFonts w:eastAsia="Times New Roman" w:cs="Times New Roman"/>
        </w:rPr>
        <w:t xml:space="preserve"> </w:t>
      </w:r>
    </w:p>
    <w:p w14:paraId="6C731570" w14:textId="77777777" w:rsidR="00D615DC" w:rsidRDefault="00D615DC" w:rsidP="00B83A9C">
      <w:pPr>
        <w:rPr>
          <w:rFonts w:eastAsia="Times New Roman" w:cs="Times New Roman"/>
        </w:rPr>
      </w:pPr>
    </w:p>
    <w:p w14:paraId="160A4F85" w14:textId="65BB6775" w:rsidR="00D615DC" w:rsidRDefault="00D615DC" w:rsidP="00B83A9C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VI.  Past practice at SUNY Cobleskill appears to acknowledge that </w:t>
      </w:r>
      <w:r w:rsidR="005F4413">
        <w:rPr>
          <w:rFonts w:eastAsia="Times New Roman" w:cs="Times New Roman"/>
        </w:rPr>
        <w:t xml:space="preserve">salaries should differ </w:t>
      </w:r>
      <w:r w:rsidR="00BD00CB">
        <w:rPr>
          <w:rFonts w:eastAsia="Times New Roman" w:cs="Times New Roman"/>
        </w:rPr>
        <w:t>for 10-month and 12-</w:t>
      </w:r>
      <w:r w:rsidR="005F4413">
        <w:rPr>
          <w:rFonts w:eastAsia="Times New Roman" w:cs="Times New Roman"/>
        </w:rPr>
        <w:t xml:space="preserve">month </w:t>
      </w:r>
      <w:r w:rsidR="00F803DA">
        <w:rPr>
          <w:rFonts w:eastAsia="Times New Roman" w:cs="Times New Roman"/>
        </w:rPr>
        <w:t xml:space="preserve">academic </w:t>
      </w:r>
      <w:r w:rsidR="005F4413">
        <w:rPr>
          <w:rFonts w:eastAsia="Times New Roman" w:cs="Times New Roman"/>
        </w:rPr>
        <w:t>employees</w:t>
      </w:r>
      <w:r w:rsidR="00BD00CB">
        <w:rPr>
          <w:rFonts w:eastAsia="Times New Roman" w:cs="Times New Roman"/>
        </w:rPr>
        <w:t xml:space="preserve"> at the same rank</w:t>
      </w:r>
      <w:r w:rsidR="005F4413">
        <w:rPr>
          <w:rFonts w:eastAsia="Times New Roman" w:cs="Times New Roman"/>
        </w:rPr>
        <w:t>. Public salary data collected from the SeeThroughNY website (</w:t>
      </w:r>
      <w:r w:rsidR="005F4413" w:rsidRPr="005F4413">
        <w:rPr>
          <w:rFonts w:eastAsia="Times New Roman" w:cs="Times New Roman"/>
        </w:rPr>
        <w:t>http://seethroughny.net/payrolls</w:t>
      </w:r>
      <w:r w:rsidR="005F4413">
        <w:rPr>
          <w:rFonts w:eastAsia="Times New Roman" w:cs="Times New Roman"/>
        </w:rPr>
        <w:t xml:space="preserve">) shows multiple </w:t>
      </w:r>
      <w:r w:rsidR="00BD00CB">
        <w:rPr>
          <w:rFonts w:eastAsia="Times New Roman" w:cs="Times New Roman"/>
        </w:rPr>
        <w:t>cases</w:t>
      </w:r>
      <w:r w:rsidR="005F4413">
        <w:rPr>
          <w:rFonts w:eastAsia="Times New Roman" w:cs="Times New Roman"/>
        </w:rPr>
        <w:t xml:space="preserve"> when salary adjustments accompanied shifts from one contract term to another.  </w:t>
      </w:r>
      <w:r w:rsidR="00BD00CB">
        <w:rPr>
          <w:rFonts w:eastAsia="Times New Roman" w:cs="Times New Roman"/>
        </w:rPr>
        <w:t>For instance, w</w:t>
      </w:r>
      <w:r w:rsidR="005F4413">
        <w:rPr>
          <w:rFonts w:eastAsia="Times New Roman" w:cs="Times New Roman"/>
        </w:rPr>
        <w:t>hen Kar</w:t>
      </w:r>
      <w:r w:rsidR="00BD00CB">
        <w:rPr>
          <w:rFonts w:eastAsia="Times New Roman" w:cs="Times New Roman"/>
        </w:rPr>
        <w:t>l Schwarzenegger went from a 12-month contract to a 10-</w:t>
      </w:r>
      <w:r w:rsidR="005F4413">
        <w:rPr>
          <w:rFonts w:eastAsia="Times New Roman" w:cs="Times New Roman"/>
        </w:rPr>
        <w:t>month contract in 2014, his</w:t>
      </w:r>
      <w:r w:rsidR="00BD00CB">
        <w:rPr>
          <w:rFonts w:eastAsia="Times New Roman" w:cs="Times New Roman"/>
        </w:rPr>
        <w:t xml:space="preserve"> salary was lowered by 17.6%.  Likewise, when John Kowal went from a 10-</w:t>
      </w:r>
      <w:r w:rsidR="005F4413">
        <w:rPr>
          <w:rFonts w:eastAsia="Times New Roman" w:cs="Times New Roman"/>
        </w:rPr>
        <w:t xml:space="preserve">month contract </w:t>
      </w:r>
      <w:r w:rsidR="00BD00CB">
        <w:rPr>
          <w:rFonts w:eastAsia="Times New Roman" w:cs="Times New Roman"/>
        </w:rPr>
        <w:t>to a 12-</w:t>
      </w:r>
      <w:r w:rsidR="005F4413">
        <w:rPr>
          <w:rFonts w:eastAsia="Times New Roman" w:cs="Times New Roman"/>
        </w:rPr>
        <w:t xml:space="preserve">month contract in 2012, his salary increased </w:t>
      </w:r>
      <w:r w:rsidR="00BD00CB">
        <w:rPr>
          <w:rFonts w:eastAsia="Times New Roman" w:cs="Times New Roman"/>
        </w:rPr>
        <w:t xml:space="preserve">by 21.2%.  </w:t>
      </w:r>
    </w:p>
    <w:p w14:paraId="1873D06C" w14:textId="77777777" w:rsidR="007C0BEC" w:rsidRDefault="007C0BEC" w:rsidP="00B83A9C">
      <w:pPr>
        <w:rPr>
          <w:rFonts w:eastAsia="Times New Roman" w:cs="Times New Roman"/>
        </w:rPr>
      </w:pPr>
    </w:p>
    <w:p w14:paraId="2E0F8F56" w14:textId="22FD6221" w:rsidR="007C0BEC" w:rsidRDefault="007C0BEC" w:rsidP="00B83A9C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VII.  </w:t>
      </w:r>
      <w:r w:rsidR="00D91032">
        <w:rPr>
          <w:rFonts w:eastAsia="Times New Roman" w:cs="Times New Roman"/>
        </w:rPr>
        <w:t>Librarians recognize that responsibilities differ among academic units on campus and support the statement in the SUNY Cobleskill faculty handbook that</w:t>
      </w:r>
    </w:p>
    <w:p w14:paraId="25EF2046" w14:textId="77777777" w:rsidR="00D91032" w:rsidRDefault="00D91032" w:rsidP="00B83A9C">
      <w:pPr>
        <w:rPr>
          <w:rFonts w:eastAsia="Times New Roman" w:cs="Times New Roman"/>
        </w:rPr>
      </w:pPr>
    </w:p>
    <w:p w14:paraId="56129C27" w14:textId="3D75BD0B" w:rsidR="00D91032" w:rsidRDefault="00D91032" w:rsidP="00D91032">
      <w:pPr>
        <w:ind w:left="720"/>
        <w:rPr>
          <w:rFonts w:eastAsia="Times New Roman" w:cs="Times New Roman"/>
        </w:rPr>
      </w:pPr>
      <w:r w:rsidRPr="00D91032">
        <w:rPr>
          <w:rFonts w:eastAsia="Times New Roman" w:cs="Times New Roman"/>
        </w:rPr>
        <w:t>Because of the diversity of requiremen</w:t>
      </w:r>
      <w:r>
        <w:rPr>
          <w:rFonts w:eastAsia="Times New Roman" w:cs="Times New Roman"/>
        </w:rPr>
        <w:t>ts and demands arising from dif</w:t>
      </w:r>
      <w:r w:rsidRPr="00D91032">
        <w:rPr>
          <w:rFonts w:eastAsia="Times New Roman" w:cs="Times New Roman"/>
        </w:rPr>
        <w:t>ferent programs and courses, it is not feasible to attempt to specify in terms of numbers of hours, students, and preparations, what an academic employee's workload should be.</w:t>
      </w:r>
      <w:r>
        <w:rPr>
          <w:rFonts w:eastAsia="Times New Roman" w:cs="Times New Roman"/>
        </w:rPr>
        <w:t xml:space="preserve"> (</w:t>
      </w:r>
      <w:r w:rsidRPr="00D91032">
        <w:rPr>
          <w:rFonts w:eastAsia="Times New Roman" w:cs="Times New Roman"/>
          <w:i/>
        </w:rPr>
        <w:t>SUNY Cobleskill Faculty Handbook</w:t>
      </w:r>
      <w:r>
        <w:rPr>
          <w:rFonts w:eastAsia="Times New Roman" w:cs="Times New Roman"/>
        </w:rPr>
        <w:t>, p. 45)</w:t>
      </w:r>
    </w:p>
    <w:p w14:paraId="68E23259" w14:textId="77777777" w:rsidR="00D91032" w:rsidRDefault="00D91032" w:rsidP="00D91032">
      <w:pPr>
        <w:rPr>
          <w:rFonts w:eastAsia="Times New Roman" w:cs="Times New Roman"/>
        </w:rPr>
      </w:pPr>
    </w:p>
    <w:p w14:paraId="2B30DD3B" w14:textId="77777777" w:rsidR="00497531" w:rsidRDefault="00D91032" w:rsidP="00497531">
      <w:r>
        <w:rPr>
          <w:rFonts w:eastAsia="Times New Roman" w:cs="Times New Roman"/>
        </w:rPr>
        <w:t xml:space="preserve">Even within the library, different positions have different obligations. Work flow is determined by functional responsibilities. Certain positions within the library </w:t>
      </w:r>
      <w:r w:rsidR="0063460E">
        <w:rPr>
          <w:rFonts w:eastAsia="Times New Roman" w:cs="Times New Roman"/>
        </w:rPr>
        <w:t>require</w:t>
      </w:r>
      <w:r>
        <w:rPr>
          <w:rFonts w:eastAsia="Times New Roman" w:cs="Times New Roman"/>
        </w:rPr>
        <w:t xml:space="preserve"> a 12-month presence on campus</w:t>
      </w:r>
      <w:r w:rsidR="0063460E">
        <w:rPr>
          <w:rFonts w:eastAsia="Times New Roman" w:cs="Times New Roman"/>
        </w:rPr>
        <w:t>; others—more closely dependent on student presence—require only a 10-month presence</w:t>
      </w:r>
      <w:r>
        <w:rPr>
          <w:rFonts w:eastAsia="Times New Roman" w:cs="Times New Roman"/>
        </w:rPr>
        <w:t xml:space="preserve">. In either case, however, we believe our pay scale should be </w:t>
      </w:r>
      <w:r w:rsidR="0063460E">
        <w:rPr>
          <w:rFonts w:eastAsia="Times New Roman" w:cs="Times New Roman"/>
        </w:rPr>
        <w:t>on par with that of other academic employees. In practice, that means a 10-month salary for an academic calendar obligation or a 12-month salary for a calendar year obligation. At present, we are receiving a 10-month sala</w:t>
      </w:r>
      <w:r w:rsidR="00497531">
        <w:rPr>
          <w:rFonts w:eastAsia="Times New Roman" w:cs="Times New Roman"/>
        </w:rPr>
        <w:t xml:space="preserve">ry for 12-months worth of work, which is at odds with the principles communicated in the </w:t>
      </w:r>
      <w:r w:rsidR="00497531" w:rsidRPr="000E4159">
        <w:rPr>
          <w:i/>
        </w:rPr>
        <w:t>SUNY Board of Trustees Policy Guidelines</w:t>
      </w:r>
      <w:r w:rsidR="00497531">
        <w:t xml:space="preserve"> and the </w:t>
      </w:r>
      <w:r w:rsidR="00497531" w:rsidRPr="000E4159">
        <w:rPr>
          <w:i/>
        </w:rPr>
        <w:t>UUP Agreement with New York State</w:t>
      </w:r>
      <w:r w:rsidR="00497531">
        <w:t xml:space="preserve">. </w:t>
      </w:r>
    </w:p>
    <w:p w14:paraId="48B27AFD" w14:textId="71F13816" w:rsidR="00D91032" w:rsidRDefault="00D91032" w:rsidP="00D91032">
      <w:pPr>
        <w:rPr>
          <w:rFonts w:eastAsia="Times New Roman" w:cs="Times New Roman"/>
        </w:rPr>
      </w:pPr>
    </w:p>
    <w:p w14:paraId="0CA3FA6D" w14:textId="4EE2954A" w:rsidR="00CB1582" w:rsidRDefault="004827BD" w:rsidP="00D91032">
      <w:pPr>
        <w:rPr>
          <w:rFonts w:eastAsia="Times New Roman" w:cs="Times New Roman"/>
        </w:rPr>
      </w:pPr>
      <w:r>
        <w:rPr>
          <w:rFonts w:eastAsia="Times New Roman" w:cs="Times New Roman"/>
          <w:b/>
        </w:rPr>
        <w:t xml:space="preserve">Proposal: </w:t>
      </w:r>
      <w:r w:rsidR="003174E6">
        <w:rPr>
          <w:rFonts w:eastAsia="Times New Roman" w:cs="Times New Roman"/>
        </w:rPr>
        <w:t>Our proposal is that the pay rates and obligat</w:t>
      </w:r>
      <w:r>
        <w:rPr>
          <w:rFonts w:eastAsia="Times New Roman" w:cs="Times New Roman"/>
        </w:rPr>
        <w:t>ion calendars be reconsidered on an individual basis by</w:t>
      </w:r>
      <w:r w:rsidR="003174E6">
        <w:rPr>
          <w:rFonts w:eastAsia="Times New Roman" w:cs="Times New Roman"/>
        </w:rPr>
        <w:t xml:space="preserve"> the Library Dean and Library Faculty to determine a solution that meets the needs of the library and the campus community while providing equitable compensation for the librarians. </w:t>
      </w:r>
      <w:r>
        <w:rPr>
          <w:rFonts w:eastAsia="Times New Roman" w:cs="Times New Roman"/>
        </w:rPr>
        <w:t xml:space="preserve">For those in positions where a 10-month presence would suffice, obligation calendars would be switched to the 10-month academic year calendar while the current salary rate remained in effect. </w:t>
      </w:r>
      <w:r w:rsidR="003174E6">
        <w:rPr>
          <w:rFonts w:eastAsia="Times New Roman" w:cs="Times New Roman"/>
        </w:rPr>
        <w:t>For</w:t>
      </w:r>
      <w:r>
        <w:rPr>
          <w:rFonts w:eastAsia="Times New Roman" w:cs="Times New Roman"/>
        </w:rPr>
        <w:t xml:space="preserve"> those in positions requiring a 12-month presence for the continued smooth operation of the library, a salary adjustment would be granted corresponding to the 19.5% increase </w:t>
      </w:r>
      <w:r w:rsidR="002C6D39">
        <w:rPr>
          <w:rFonts w:eastAsia="Times New Roman" w:cs="Times New Roman"/>
        </w:rPr>
        <w:t>articulated</w:t>
      </w:r>
      <w:r>
        <w:rPr>
          <w:rFonts w:eastAsia="Times New Roman" w:cs="Times New Roman"/>
        </w:rPr>
        <w:t xml:space="preserve"> in Section 20 of the </w:t>
      </w:r>
      <w:r>
        <w:rPr>
          <w:rFonts w:eastAsia="Times New Roman" w:cs="Times New Roman"/>
          <w:i/>
        </w:rPr>
        <w:t>UUP Agreement</w:t>
      </w:r>
      <w:r>
        <w:rPr>
          <w:rFonts w:eastAsia="Times New Roman" w:cs="Times New Roman"/>
        </w:rPr>
        <w:t xml:space="preserve">. </w:t>
      </w:r>
    </w:p>
    <w:p w14:paraId="462C420A" w14:textId="77777777" w:rsidR="00945D0D" w:rsidRDefault="0077727F" w:rsidP="00945D0D">
      <w:pPr>
        <w:rPr>
          <w:rFonts w:eastAsia="Times New Roman" w:cs="Times New Roman"/>
          <w:b/>
        </w:rPr>
      </w:pPr>
      <w:r>
        <w:rPr>
          <w:rFonts w:eastAsia="Times New Roman" w:cs="Times New Roman"/>
        </w:rPr>
        <w:br w:type="page"/>
      </w:r>
      <w:r w:rsidR="00945D0D">
        <w:rPr>
          <w:rFonts w:eastAsia="Times New Roman" w:cs="Times New Roman"/>
          <w:b/>
        </w:rPr>
        <w:lastRenderedPageBreak/>
        <w:t>So to recap:</w:t>
      </w:r>
    </w:p>
    <w:p w14:paraId="2AEE54BF" w14:textId="6557694D" w:rsidR="00945D0D" w:rsidRPr="00945D0D" w:rsidRDefault="00945D0D" w:rsidP="00945D0D">
      <w:pPr>
        <w:pStyle w:val="ListParagraph"/>
        <w:numPr>
          <w:ilvl w:val="0"/>
          <w:numId w:val="1"/>
        </w:numPr>
        <w:rPr>
          <w:rFonts w:eastAsia="Times New Roman" w:cs="Times New Roman"/>
        </w:rPr>
      </w:pPr>
      <w:r w:rsidRPr="00945D0D">
        <w:rPr>
          <w:rFonts w:eastAsia="Times New Roman" w:cs="Times New Roman"/>
        </w:rPr>
        <w:t>According to the SUNY Board of Trustees</w:t>
      </w:r>
      <w:r>
        <w:rPr>
          <w:rFonts w:eastAsia="Times New Roman" w:cs="Times New Roman"/>
        </w:rPr>
        <w:t xml:space="preserve"> Policies</w:t>
      </w:r>
      <w:r w:rsidRPr="00945D0D">
        <w:rPr>
          <w:rFonts w:eastAsia="Times New Roman" w:cs="Times New Roman"/>
        </w:rPr>
        <w:t>, librarians are academic employees with academic ranks corresponding to disciplinary faculty;</w:t>
      </w:r>
    </w:p>
    <w:p w14:paraId="1435F86F" w14:textId="77777777" w:rsidR="00945D0D" w:rsidRPr="00945D0D" w:rsidRDefault="00945D0D" w:rsidP="00945D0D">
      <w:pPr>
        <w:pStyle w:val="ListParagraph"/>
        <w:numPr>
          <w:ilvl w:val="0"/>
          <w:numId w:val="1"/>
        </w:numPr>
        <w:rPr>
          <w:rFonts w:eastAsia="Times New Roman" w:cs="Times New Roman"/>
        </w:rPr>
      </w:pPr>
      <w:r w:rsidRPr="00945D0D">
        <w:rPr>
          <w:rFonts w:eastAsia="Times New Roman" w:cs="Times New Roman"/>
        </w:rPr>
        <w:t>According to the UUP Agreement, negotiated salary minimums for academic employees with 12-month contracts are to be 19.5% higher than those of academic employees with 10-month contracts;</w:t>
      </w:r>
    </w:p>
    <w:p w14:paraId="75887404" w14:textId="105DA24E" w:rsidR="00945D0D" w:rsidRPr="00945D0D" w:rsidRDefault="00945D0D" w:rsidP="00945D0D">
      <w:pPr>
        <w:pStyle w:val="ListParagraph"/>
        <w:numPr>
          <w:ilvl w:val="0"/>
          <w:numId w:val="1"/>
        </w:numPr>
        <w:rPr>
          <w:rFonts w:eastAsia="Times New Roman" w:cs="Times New Roman"/>
        </w:rPr>
      </w:pPr>
      <w:r w:rsidRPr="00945D0D">
        <w:rPr>
          <w:rFonts w:eastAsia="Times New Roman" w:cs="Times New Roman"/>
        </w:rPr>
        <w:t xml:space="preserve">At SUNY Cobleskill, librarians’ salaries for calendar year contracts are roughly equivalent to those of other academic employees </w:t>
      </w:r>
      <w:r>
        <w:rPr>
          <w:rFonts w:eastAsia="Times New Roman" w:cs="Times New Roman"/>
        </w:rPr>
        <w:t>working academic year contracts—meaning we’re doing 12 months’ work for 10 months’ pay;</w:t>
      </w:r>
    </w:p>
    <w:p w14:paraId="0ED7B86A" w14:textId="77777777" w:rsidR="00945D0D" w:rsidRPr="00945D0D" w:rsidRDefault="00945D0D" w:rsidP="00945D0D">
      <w:pPr>
        <w:pStyle w:val="ListParagraph"/>
        <w:numPr>
          <w:ilvl w:val="0"/>
          <w:numId w:val="1"/>
        </w:numPr>
        <w:rPr>
          <w:rFonts w:eastAsia="Times New Roman" w:cs="Times New Roman"/>
        </w:rPr>
      </w:pPr>
      <w:r w:rsidRPr="00945D0D">
        <w:rPr>
          <w:rFonts w:eastAsia="Times New Roman" w:cs="Times New Roman"/>
        </w:rPr>
        <w:t>Some librarians need to be here year-round; others could shift to 10-month contracts;</w:t>
      </w:r>
    </w:p>
    <w:p w14:paraId="04CA70D6" w14:textId="77777777" w:rsidR="00945D0D" w:rsidRPr="00945D0D" w:rsidRDefault="00945D0D" w:rsidP="00945D0D">
      <w:pPr>
        <w:pStyle w:val="ListParagraph"/>
        <w:numPr>
          <w:ilvl w:val="0"/>
          <w:numId w:val="1"/>
        </w:numPr>
        <w:rPr>
          <w:rFonts w:eastAsia="Times New Roman" w:cs="Times New Roman"/>
        </w:rPr>
      </w:pPr>
      <w:r w:rsidRPr="00945D0D">
        <w:rPr>
          <w:rFonts w:eastAsia="Times New Roman" w:cs="Times New Roman"/>
        </w:rPr>
        <w:t>We want the flexibility to choose either 10 months’ work for 10 months’ salary OR 12 months’ salary for 12 months’ work—as required by the workflow or our particular job.</w:t>
      </w:r>
    </w:p>
    <w:p w14:paraId="7B6C9CFD" w14:textId="77777777" w:rsidR="0077727F" w:rsidRDefault="0077727F">
      <w:pPr>
        <w:rPr>
          <w:rFonts w:eastAsia="Times New Roman" w:cs="Times New Roman"/>
        </w:rPr>
      </w:pPr>
    </w:p>
    <w:sectPr w:rsidR="0077727F" w:rsidSect="00D9103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C947CE" w14:textId="77777777" w:rsidR="002831BA" w:rsidRDefault="002831BA" w:rsidP="00803645">
      <w:r>
        <w:separator/>
      </w:r>
    </w:p>
  </w:endnote>
  <w:endnote w:type="continuationSeparator" w:id="0">
    <w:p w14:paraId="1964BA22" w14:textId="77777777" w:rsidR="002831BA" w:rsidRDefault="002831BA" w:rsidP="00803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FEC3E8" w14:textId="77777777" w:rsidR="002831BA" w:rsidRDefault="002831BA" w:rsidP="00803645">
      <w:r>
        <w:separator/>
      </w:r>
    </w:p>
  </w:footnote>
  <w:footnote w:type="continuationSeparator" w:id="0">
    <w:p w14:paraId="5A0EB28F" w14:textId="77777777" w:rsidR="002831BA" w:rsidRDefault="002831BA" w:rsidP="008036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B6069"/>
    <w:multiLevelType w:val="hybridMultilevel"/>
    <w:tmpl w:val="B314BB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EC4"/>
    <w:rsid w:val="00052013"/>
    <w:rsid w:val="000E4159"/>
    <w:rsid w:val="001B737B"/>
    <w:rsid w:val="002012B1"/>
    <w:rsid w:val="002831BA"/>
    <w:rsid w:val="002C6D39"/>
    <w:rsid w:val="00312FA0"/>
    <w:rsid w:val="003174E6"/>
    <w:rsid w:val="003F4769"/>
    <w:rsid w:val="00422471"/>
    <w:rsid w:val="0046037E"/>
    <w:rsid w:val="004827BD"/>
    <w:rsid w:val="00497531"/>
    <w:rsid w:val="00501D31"/>
    <w:rsid w:val="00542B60"/>
    <w:rsid w:val="00545191"/>
    <w:rsid w:val="005F4413"/>
    <w:rsid w:val="0063460E"/>
    <w:rsid w:val="006C4F33"/>
    <w:rsid w:val="0077727F"/>
    <w:rsid w:val="007840D3"/>
    <w:rsid w:val="007C0BEC"/>
    <w:rsid w:val="00803645"/>
    <w:rsid w:val="00945D0D"/>
    <w:rsid w:val="009C0A8E"/>
    <w:rsid w:val="00B709D6"/>
    <w:rsid w:val="00B83A9C"/>
    <w:rsid w:val="00BB20E6"/>
    <w:rsid w:val="00BD00CB"/>
    <w:rsid w:val="00CB1582"/>
    <w:rsid w:val="00D26DB4"/>
    <w:rsid w:val="00D615DC"/>
    <w:rsid w:val="00D91032"/>
    <w:rsid w:val="00F056CB"/>
    <w:rsid w:val="00F06EC4"/>
    <w:rsid w:val="00F80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20C0D1"/>
  <w14:defaultImageDpi w14:val="300"/>
  <w15:docId w15:val="{FC9027ED-DB83-4FF8-9F01-9EBFFAF5E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803645"/>
  </w:style>
  <w:style w:type="character" w:customStyle="1" w:styleId="FootnoteTextChar">
    <w:name w:val="Footnote Text Char"/>
    <w:basedOn w:val="DefaultParagraphFont"/>
    <w:link w:val="FootnoteText"/>
    <w:uiPriority w:val="99"/>
    <w:rsid w:val="00803645"/>
  </w:style>
  <w:style w:type="character" w:styleId="FootnoteReference">
    <w:name w:val="footnote reference"/>
    <w:basedOn w:val="DefaultParagraphFont"/>
    <w:uiPriority w:val="99"/>
    <w:unhideWhenUsed/>
    <w:rsid w:val="0080364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4F3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F33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45D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9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4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5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1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09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36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5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10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05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20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1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55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4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40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29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7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5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93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0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7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6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4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0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5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1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723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Cobleskill</Company>
  <LinksUpToDate>false</LinksUpToDate>
  <CharactersWithSpaces>4841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LaPlant Donald D</dc:creator>
  <cp:keywords/>
  <dc:description/>
  <cp:lastModifiedBy>Lepore Moody, Patricia A</cp:lastModifiedBy>
  <cp:revision>2</cp:revision>
  <dcterms:created xsi:type="dcterms:W3CDTF">2016-12-13T17:00:00Z</dcterms:created>
  <dcterms:modified xsi:type="dcterms:W3CDTF">2016-12-13T17:00:00Z</dcterms:modified>
</cp:coreProperties>
</file>